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="宋体" w:hAnsi="宋体"/>
          <w:b/>
          <w:sz w:val="30"/>
          <w:szCs w:val="30"/>
        </w:rPr>
      </w:pPr>
      <w:bookmarkStart w:id="0" w:name="_GoBack"/>
      <w:bookmarkEnd w:id="0"/>
    </w:p>
    <w:p>
      <w:pPr>
        <w:jc w:val="center"/>
        <w:rPr>
          <w:rFonts w:hint="eastAsia" w:ascii="宋体" w:hAnsi="宋体" w:eastAsia="宋体"/>
          <w:sz w:val="30"/>
          <w:szCs w:val="30"/>
          <w:lang w:eastAsia="zh-CN"/>
        </w:rPr>
      </w:pPr>
      <w:r>
        <w:rPr>
          <w:rFonts w:hint="eastAsia" w:ascii="宋体" w:hAnsi="宋体"/>
          <w:b/>
          <w:sz w:val="30"/>
          <w:szCs w:val="30"/>
        </w:rPr>
        <w:t>建设工程中标</w:t>
      </w:r>
      <w:r>
        <w:rPr>
          <w:rFonts w:hint="eastAsia" w:ascii="宋体" w:hAnsi="宋体"/>
          <w:b/>
          <w:sz w:val="30"/>
          <w:szCs w:val="30"/>
          <w:lang w:val="en-US" w:eastAsia="zh-CN"/>
        </w:rPr>
        <w:t>结果</w:t>
      </w:r>
      <w:r>
        <w:rPr>
          <w:rFonts w:hint="eastAsia" w:ascii="宋体" w:hAnsi="宋体"/>
          <w:b/>
          <w:sz w:val="30"/>
          <w:szCs w:val="30"/>
        </w:rPr>
        <w:t>公</w:t>
      </w:r>
      <w:r>
        <w:rPr>
          <w:rFonts w:hint="eastAsia" w:ascii="宋体" w:hAnsi="宋体"/>
          <w:b/>
          <w:sz w:val="30"/>
          <w:szCs w:val="30"/>
          <w:lang w:eastAsia="zh-CN"/>
        </w:rPr>
        <w:t>告</w:t>
      </w:r>
    </w:p>
    <w:tbl>
      <w:tblPr>
        <w:tblStyle w:val="8"/>
        <w:tblW w:w="8809" w:type="dxa"/>
        <w:tblInd w:w="10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7"/>
        <w:gridCol w:w="908"/>
        <w:gridCol w:w="1761"/>
        <w:gridCol w:w="314"/>
        <w:gridCol w:w="1281"/>
        <w:gridCol w:w="328"/>
        <w:gridCol w:w="1644"/>
        <w:gridCol w:w="14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567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招标人</w:t>
            </w:r>
          </w:p>
        </w:tc>
        <w:tc>
          <w:tcPr>
            <w:tcW w:w="7652" w:type="dxa"/>
            <w:gridSpan w:val="7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郑州交通建设投资有限公司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84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工程名称</w:t>
            </w:r>
          </w:p>
        </w:tc>
        <w:tc>
          <w:tcPr>
            <w:tcW w:w="4592" w:type="dxa"/>
            <w:gridSpan w:val="5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  <w:lang w:eastAsia="zh-CN"/>
              </w:rPr>
              <w:t>京港澳高速、省道102与四港联动大道组合式互通立交房屋建筑工程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招标</w:t>
            </w:r>
          </w:p>
        </w:tc>
        <w:tc>
          <w:tcPr>
            <w:tcW w:w="164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标段名称</w:t>
            </w:r>
          </w:p>
        </w:tc>
        <w:tc>
          <w:tcPr>
            <w:tcW w:w="1416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/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2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工程地址</w:t>
            </w:r>
          </w:p>
        </w:tc>
        <w:tc>
          <w:tcPr>
            <w:tcW w:w="4592" w:type="dxa"/>
            <w:gridSpan w:val="5"/>
            <w:vAlign w:val="center"/>
          </w:tcPr>
          <w:p>
            <w:pPr>
              <w:pStyle w:val="13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郑州市境内</w:t>
            </w:r>
          </w:p>
        </w:tc>
        <w:tc>
          <w:tcPr>
            <w:tcW w:w="164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招标类型</w:t>
            </w:r>
          </w:p>
        </w:tc>
        <w:tc>
          <w:tcPr>
            <w:tcW w:w="1416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施工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工程规模</w:t>
            </w:r>
          </w:p>
        </w:tc>
        <w:tc>
          <w:tcPr>
            <w:tcW w:w="4592" w:type="dxa"/>
            <w:gridSpan w:val="5"/>
            <w:vAlign w:val="center"/>
          </w:tcPr>
          <w:p>
            <w:pPr>
              <w:pStyle w:val="13"/>
              <w:spacing w:before="0" w:beforeAutospacing="0" w:after="0" w:afterAutospacing="0"/>
              <w:rPr>
                <w:sz w:val="21"/>
                <w:szCs w:val="21"/>
              </w:rPr>
            </w:pPr>
            <w:r>
              <w:rPr>
                <w:sz w:val="21"/>
                <w:szCs w:val="21"/>
              </w:rPr>
              <w:t>项目</w:t>
            </w:r>
            <w:r>
              <w:rPr>
                <w:rFonts w:hint="eastAsia"/>
                <w:sz w:val="21"/>
                <w:szCs w:val="21"/>
              </w:rPr>
              <w:t>设收费车道</w:t>
            </w:r>
            <w:r>
              <w:rPr>
                <w:sz w:val="21"/>
                <w:szCs w:val="21"/>
              </w:rPr>
              <w:t>6进10出收费站1处</w:t>
            </w:r>
            <w:r>
              <w:rPr>
                <w:rFonts w:hint="eastAsia"/>
                <w:sz w:val="21"/>
                <w:szCs w:val="21"/>
              </w:rPr>
              <w:t>，收费站管理区总用地为9亩</w:t>
            </w:r>
            <w:r>
              <w:rPr>
                <w:sz w:val="21"/>
                <w:szCs w:val="21"/>
              </w:rPr>
              <w:t>。</w:t>
            </w:r>
            <w:r>
              <w:rPr>
                <w:rFonts w:hint="eastAsia"/>
                <w:sz w:val="21"/>
                <w:szCs w:val="21"/>
              </w:rPr>
              <w:t>建设内容包括：收费大棚，收费站管理区综合办公楼、宿舍楼及配套建筑，收费站管理区外设置超限检测用房。</w:t>
            </w:r>
          </w:p>
        </w:tc>
        <w:tc>
          <w:tcPr>
            <w:tcW w:w="164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结构层数</w:t>
            </w:r>
          </w:p>
        </w:tc>
        <w:tc>
          <w:tcPr>
            <w:tcW w:w="1416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eastAsia="宋体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t>2层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招标方式</w:t>
            </w:r>
          </w:p>
        </w:tc>
        <w:tc>
          <w:tcPr>
            <w:tcW w:w="4592" w:type="dxa"/>
            <w:gridSpan w:val="5"/>
            <w:vAlign w:val="center"/>
          </w:tcPr>
          <w:p>
            <w:pPr>
              <w:pStyle w:val="13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公开招标</w:t>
            </w:r>
          </w:p>
        </w:tc>
        <w:tc>
          <w:tcPr>
            <w:tcW w:w="1644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招标组织形式</w:t>
            </w:r>
          </w:p>
        </w:tc>
        <w:tc>
          <w:tcPr>
            <w:tcW w:w="1416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委托招标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2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b/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</w:rPr>
              <w:t>开标时间</w:t>
            </w:r>
          </w:p>
        </w:tc>
        <w:tc>
          <w:tcPr>
            <w:tcW w:w="7652" w:type="dxa"/>
            <w:gridSpan w:val="7"/>
            <w:vAlign w:val="center"/>
          </w:tcPr>
          <w:p>
            <w:pPr>
              <w:pStyle w:val="13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t>2020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年</w:t>
            </w: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t>9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日上午10时00分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1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default" w:eastAsia="宋体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b/>
                <w:bCs/>
                <w:sz w:val="21"/>
                <w:szCs w:val="21"/>
                <w:shd w:val="clear" w:color="auto" w:fill="FFFFFF"/>
                <w:lang w:val="en-US" w:eastAsia="zh-CN"/>
              </w:rPr>
              <w:t>中标人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中交一公局集团有限公司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项目经理及证书编号</w:t>
            </w:r>
          </w:p>
        </w:tc>
        <w:tc>
          <w:tcPr>
            <w:tcW w:w="3388" w:type="dxa"/>
            <w:gridSpan w:val="3"/>
            <w:vAlign w:val="center"/>
          </w:tcPr>
          <w:p>
            <w:pPr>
              <w:pStyle w:val="13"/>
              <w:spacing w:before="0" w:beforeAutospacing="0" w:after="0" w:afterAutospacing="0"/>
              <w:rPr>
                <w:rFonts w:hint="eastAsia" w:eastAsia="宋体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 xml:space="preserve">胡培林 </w:t>
            </w: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t xml:space="preserve"> 00459583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7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投标报价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rFonts w:hint="eastAsia" w:eastAsia="宋体"/>
                <w:sz w:val="21"/>
                <w:szCs w:val="21"/>
                <w:shd w:val="clear" w:color="auto" w:fill="FFFFFF"/>
                <w:lang w:eastAsia="zh-CN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¥17</w:t>
            </w: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t>,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995</w:t>
            </w: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t>,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582.80</w:t>
            </w:r>
            <w:r>
              <w:rPr>
                <w:rFonts w:hint="eastAsia"/>
                <w:sz w:val="21"/>
                <w:szCs w:val="21"/>
                <w:shd w:val="clear" w:color="auto" w:fill="FFFFFF"/>
                <w:lang w:eastAsia="zh-CN"/>
              </w:rPr>
              <w:t>元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项目总工</w:t>
            </w:r>
          </w:p>
        </w:tc>
        <w:tc>
          <w:tcPr>
            <w:tcW w:w="3388" w:type="dxa"/>
            <w:gridSpan w:val="3"/>
            <w:vAlign w:val="center"/>
          </w:tcPr>
          <w:p>
            <w:pPr>
              <w:pStyle w:val="13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</w:rPr>
              <w:t>胡继辉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33" w:hRule="atLeast"/>
        </w:trPr>
        <w:tc>
          <w:tcPr>
            <w:tcW w:w="1157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工期及安全目标</w:t>
            </w:r>
          </w:p>
        </w:tc>
        <w:tc>
          <w:tcPr>
            <w:tcW w:w="2669" w:type="dxa"/>
            <w:gridSpan w:val="2"/>
            <w:vAlign w:val="center"/>
          </w:tcPr>
          <w:p>
            <w:pPr>
              <w:pStyle w:val="13"/>
              <w:jc w:val="left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工期</w:t>
            </w:r>
            <w:r>
              <w:rPr>
                <w:rFonts w:hint="eastAsia"/>
                <w:bCs/>
                <w:sz w:val="21"/>
                <w:szCs w:val="21"/>
                <w:shd w:val="clear" w:color="auto" w:fill="FFFFFF"/>
                <w:lang w:val="en-US" w:eastAsia="zh-CN"/>
              </w:rPr>
              <w:t>: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计划工期</w:t>
            </w: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t>10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个月；缺陷责任期24个月。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br w:type="textWrapping"/>
            </w: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安全目标</w:t>
            </w:r>
            <w:r>
              <w:rPr>
                <w:rFonts w:hint="eastAsia"/>
                <w:bCs/>
                <w:sz w:val="21"/>
                <w:szCs w:val="21"/>
                <w:shd w:val="clear" w:color="auto" w:fill="FFFFFF"/>
                <w:lang w:val="en-US" w:eastAsia="zh-CN"/>
              </w:rPr>
              <w:t>: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确保不发生有人员伤亡的安全责任事故。</w:t>
            </w:r>
          </w:p>
        </w:tc>
        <w:tc>
          <w:tcPr>
            <w:tcW w:w="1595" w:type="dxa"/>
            <w:gridSpan w:val="2"/>
            <w:vAlign w:val="center"/>
          </w:tcPr>
          <w:p>
            <w:pPr>
              <w:pStyle w:val="13"/>
              <w:jc w:val="center"/>
              <w:rPr>
                <w:bCs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bCs/>
                <w:sz w:val="21"/>
                <w:szCs w:val="21"/>
                <w:shd w:val="clear" w:color="auto" w:fill="FFFFFF"/>
              </w:rPr>
              <w:t>质量</w:t>
            </w:r>
          </w:p>
        </w:tc>
        <w:tc>
          <w:tcPr>
            <w:tcW w:w="3388" w:type="dxa"/>
            <w:gridSpan w:val="3"/>
            <w:vAlign w:val="center"/>
          </w:tcPr>
          <w:p>
            <w:pPr>
              <w:pStyle w:val="13"/>
              <w:jc w:val="left"/>
              <w:rPr>
                <w:rFonts w:hint="eastAsia"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工程交工验收的质量评定：合格；</w:t>
            </w:r>
          </w:p>
          <w:p>
            <w:pPr>
              <w:pStyle w:val="13"/>
              <w:jc w:val="left"/>
              <w:rPr>
                <w:rFonts w:hint="eastAsia"/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竣工验收的质量评定：优良。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2" w:hRule="atLeast"/>
        </w:trPr>
        <w:tc>
          <w:tcPr>
            <w:tcW w:w="8809" w:type="dxa"/>
            <w:gridSpan w:val="8"/>
            <w:vAlign w:val="center"/>
          </w:tcPr>
          <w:p>
            <w:pPr>
              <w:pStyle w:val="13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备注：公</w:t>
            </w:r>
            <w:r>
              <w:rPr>
                <w:rFonts w:hint="eastAsia"/>
                <w:sz w:val="21"/>
                <w:szCs w:val="21"/>
                <w:shd w:val="clear" w:color="auto" w:fill="FFFFFF"/>
                <w:lang w:eastAsia="zh-CN"/>
              </w:rPr>
              <w:t>告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期：3日。在公</w:t>
            </w:r>
            <w:r>
              <w:rPr>
                <w:rFonts w:hint="eastAsia"/>
                <w:sz w:val="21"/>
                <w:szCs w:val="21"/>
                <w:shd w:val="clear" w:color="auto" w:fill="FFFFFF"/>
                <w:lang w:eastAsia="zh-CN"/>
              </w:rPr>
              <w:t>告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期限内，欢迎对招标投标活动中存在的违法、违规、违纪问题进行投诉。</w:t>
            </w:r>
          </w:p>
          <w:p>
            <w:pPr>
              <w:pStyle w:val="13"/>
              <w:spacing w:before="0" w:beforeAutospacing="0" w:after="0" w:afterAutospacing="0"/>
              <w:rPr>
                <w:rFonts w:hint="eastAsia" w:eastAsia="宋体"/>
                <w:sz w:val="21"/>
                <w:szCs w:val="21"/>
                <w:shd w:val="clear" w:color="auto" w:fill="FFFFFF"/>
                <w:lang w:val="en-US" w:eastAsia="zh-CN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 标 人：郑州交通建设投资有限公司 （异议受理部门） 电话：0371-86558105</w:t>
            </w: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t xml:space="preserve"> </w:t>
            </w: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br w:type="textWrapping"/>
            </w: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t>地址：河南省郑州市二七区陇海中路70号  邮箱：无     传真：无</w:t>
            </w:r>
          </w:p>
          <w:p>
            <w:pPr>
              <w:pStyle w:val="13"/>
              <w:spacing w:before="0" w:beforeAutospacing="0" w:after="0" w:afterAutospacing="0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监督部门：郑州市交通运输局 （投诉受理部门）  电话：0371-67178870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br w:type="textWrapping"/>
            </w: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t>地址：郑州市工人南路165号   邮箱：无   传真：无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46" w:hRule="atLeast"/>
        </w:trPr>
        <w:tc>
          <w:tcPr>
            <w:tcW w:w="8809" w:type="dxa"/>
            <w:gridSpan w:val="8"/>
            <w:vAlign w:val="center"/>
          </w:tcPr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ascii="宋体" w:hAnsi="宋体" w:cs="宋体"/>
                <w:szCs w:val="21"/>
              </w:rPr>
            </w:pPr>
            <w:r>
              <w:rPr>
                <w:rFonts w:hint="eastAsia" w:ascii="宋体" w:hAnsi="宋体" w:cs="宋体"/>
                <w:szCs w:val="21"/>
              </w:rPr>
              <w:t>招标人或招标代理机构：北京恒乐工程管理有限公司</w:t>
            </w:r>
          </w:p>
          <w:p>
            <w:pPr>
              <w:rPr>
                <w:rFonts w:hint="eastAsia" w:ascii="宋体" w:hAnsi="宋体" w:cs="宋体"/>
                <w:szCs w:val="21"/>
              </w:rPr>
            </w:pPr>
          </w:p>
          <w:p>
            <w:pPr>
              <w:rPr>
                <w:rFonts w:hint="eastAsia" w:ascii="宋体" w:hAnsi="宋体" w:eastAsia="宋体" w:cs="宋体"/>
                <w:szCs w:val="21"/>
                <w:lang w:val="en-US" w:eastAsia="zh-CN"/>
              </w:rPr>
            </w:pPr>
            <w:r>
              <w:rPr>
                <w:rFonts w:hint="eastAsia" w:ascii="宋体" w:hAnsi="宋体" w:cs="宋体"/>
                <w:szCs w:val="21"/>
              </w:rPr>
              <w:t>主要负责人：</w:t>
            </w:r>
            <w:r>
              <w:rPr>
                <w:rFonts w:hint="eastAsia" w:ascii="宋体" w:hAnsi="宋体" w:cs="宋体"/>
                <w:szCs w:val="21"/>
                <w:lang w:eastAsia="zh-CN"/>
              </w:rPr>
              <w:t>叶亚洲</w:t>
            </w:r>
          </w:p>
          <w:p>
            <w:pPr>
              <w:pStyle w:val="13"/>
              <w:spacing w:before="0" w:beforeAutospacing="0" w:after="0" w:afterAutospacing="0"/>
              <w:jc w:val="right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t>2020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年</w:t>
            </w: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t>1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月</w:t>
            </w:r>
            <w:r>
              <w:rPr>
                <w:rFonts w:hint="eastAsia"/>
                <w:sz w:val="21"/>
                <w:szCs w:val="21"/>
                <w:shd w:val="clear" w:color="auto" w:fill="FFFFFF"/>
                <w:lang w:val="en-US" w:eastAsia="zh-CN"/>
              </w:rPr>
              <w:t>15</w:t>
            </w:r>
            <w:r>
              <w:rPr>
                <w:rFonts w:hint="eastAsia"/>
                <w:sz w:val="21"/>
                <w:szCs w:val="21"/>
                <w:shd w:val="clear" w:color="auto" w:fill="FFFFFF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9" w:hRule="atLeast"/>
        </w:trPr>
        <w:tc>
          <w:tcPr>
            <w:tcW w:w="2065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招标人或招标代理机构人员</w:t>
            </w:r>
          </w:p>
        </w:tc>
        <w:tc>
          <w:tcPr>
            <w:tcW w:w="2075" w:type="dxa"/>
            <w:gridSpan w:val="2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 w:ascii="宋体" w:hAnsi="宋体" w:cs="宋体"/>
                <w:szCs w:val="21"/>
                <w:lang w:eastAsia="zh-CN"/>
              </w:rPr>
              <w:t>叶亚洲</w:t>
            </w:r>
          </w:p>
        </w:tc>
        <w:tc>
          <w:tcPr>
            <w:tcW w:w="1281" w:type="dxa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联系电话</w:t>
            </w:r>
          </w:p>
        </w:tc>
        <w:tc>
          <w:tcPr>
            <w:tcW w:w="3388" w:type="dxa"/>
            <w:gridSpan w:val="3"/>
            <w:vAlign w:val="center"/>
          </w:tcPr>
          <w:p>
            <w:pPr>
              <w:pStyle w:val="13"/>
              <w:spacing w:before="0" w:beforeAutospacing="0" w:after="0" w:afterAutospacing="0"/>
              <w:jc w:val="center"/>
              <w:rPr>
                <w:sz w:val="21"/>
                <w:szCs w:val="21"/>
                <w:shd w:val="clear" w:color="auto" w:fill="FFFFFF"/>
              </w:rPr>
            </w:pPr>
            <w:r>
              <w:rPr>
                <w:rFonts w:hint="eastAsia"/>
                <w:sz w:val="21"/>
                <w:szCs w:val="21"/>
                <w:shd w:val="clear" w:color="auto" w:fill="FFFFFF"/>
              </w:rPr>
              <w:t>0371-55261257</w:t>
            </w:r>
          </w:p>
        </w:tc>
      </w:tr>
    </w:tbl>
    <w:p>
      <w:pPr>
        <w:pStyle w:val="13"/>
        <w:shd w:val="solid" w:color="FFFFFF" w:fill="auto"/>
        <w:spacing w:before="0" w:beforeAutospacing="0" w:after="0" w:afterAutospacing="0"/>
        <w:rPr>
          <w:b/>
        </w:rPr>
      </w:pPr>
    </w:p>
    <w:sectPr>
      <w:pgSz w:w="11906" w:h="16838"/>
      <w:pgMar w:top="820" w:right="1800" w:bottom="898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C"/>
    <w:multiLevelType w:val="multilevel"/>
    <w:tmpl w:val="0000000C"/>
    <w:lvl w:ilvl="0" w:tentative="0">
      <w:start w:val="1"/>
      <w:numFmt w:val="upperLetter"/>
      <w:lvlText w:val="%1."/>
      <w:lvlJc w:val="left"/>
      <w:pPr>
        <w:tabs>
          <w:tab w:val="left" w:pos="420"/>
        </w:tabs>
        <w:ind w:left="420" w:hanging="420"/>
      </w:pPr>
    </w:lvl>
    <w:lvl w:ilvl="1" w:tentative="0">
      <w:start w:val="4"/>
      <w:numFmt w:val="upperLetter"/>
      <w:pStyle w:val="2"/>
      <w:lvlText w:val="%2、"/>
      <w:lvlJc w:val="left"/>
      <w:pPr>
        <w:tabs>
          <w:tab w:val="left" w:pos="1548"/>
        </w:tabs>
        <w:ind w:left="1548" w:hanging="1128"/>
      </w:pPr>
      <w:rPr>
        <w:rFonts w:hint="eastAsia"/>
      </w:rPr>
    </w:lvl>
    <w:lvl w:ilvl="2" w:tentative="0">
      <w:start w:val="1"/>
      <w:numFmt w:val="lowerRoman"/>
      <w:lvlText w:val="%3."/>
      <w:lvlJc w:val="right"/>
      <w:pPr>
        <w:tabs>
          <w:tab w:val="left" w:pos="1260"/>
        </w:tabs>
        <w:ind w:left="1260" w:hanging="420"/>
      </w:pPr>
    </w:lvl>
    <w:lvl w:ilvl="3" w:tentative="0">
      <w:start w:val="1"/>
      <w:numFmt w:val="decimal"/>
      <w:lvlText w:val="%4."/>
      <w:lvlJc w:val="left"/>
      <w:pPr>
        <w:tabs>
          <w:tab w:val="left" w:pos="1680"/>
        </w:tabs>
        <w:ind w:left="1680" w:hanging="420"/>
      </w:pPr>
    </w:lvl>
    <w:lvl w:ilvl="4" w:tentative="0">
      <w:start w:val="1"/>
      <w:numFmt w:val="lowerLetter"/>
      <w:lvlText w:val="%5)"/>
      <w:lvlJc w:val="left"/>
      <w:pPr>
        <w:tabs>
          <w:tab w:val="left" w:pos="2100"/>
        </w:tabs>
        <w:ind w:left="2100" w:hanging="420"/>
      </w:pPr>
    </w:lvl>
    <w:lvl w:ilvl="5" w:tentative="0">
      <w:start w:val="1"/>
      <w:numFmt w:val="lowerRoman"/>
      <w:lvlText w:val="%6."/>
      <w:lvlJc w:val="right"/>
      <w:pPr>
        <w:tabs>
          <w:tab w:val="left" w:pos="2520"/>
        </w:tabs>
        <w:ind w:left="2520" w:hanging="420"/>
      </w:pPr>
    </w:lvl>
    <w:lvl w:ilvl="6" w:tentative="0">
      <w:start w:val="1"/>
      <w:numFmt w:val="decimal"/>
      <w:lvlText w:val="%7."/>
      <w:lvlJc w:val="left"/>
      <w:pPr>
        <w:tabs>
          <w:tab w:val="left" w:pos="2940"/>
        </w:tabs>
        <w:ind w:left="2940" w:hanging="420"/>
      </w:pPr>
    </w:lvl>
    <w:lvl w:ilvl="7" w:tentative="0">
      <w:start w:val="1"/>
      <w:numFmt w:val="lowerLetter"/>
      <w:lvlText w:val="%8)"/>
      <w:lvlJc w:val="left"/>
      <w:pPr>
        <w:tabs>
          <w:tab w:val="left" w:pos="3360"/>
        </w:tabs>
        <w:ind w:left="3360" w:hanging="420"/>
      </w:pPr>
    </w:lvl>
    <w:lvl w:ilvl="8" w:tentative="0">
      <w:start w:val="1"/>
      <w:numFmt w:val="lowerRoman"/>
      <w:lvlText w:val="%9."/>
      <w:lvlJc w:val="right"/>
      <w:pPr>
        <w:tabs>
          <w:tab w:val="left" w:pos="3780"/>
        </w:tabs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52288"/>
    <w:rsid w:val="001F23FF"/>
    <w:rsid w:val="004821D1"/>
    <w:rsid w:val="004D145E"/>
    <w:rsid w:val="005A5EC8"/>
    <w:rsid w:val="00730DBC"/>
    <w:rsid w:val="00852288"/>
    <w:rsid w:val="00A10A4C"/>
    <w:rsid w:val="00AF0E21"/>
    <w:rsid w:val="00B77A24"/>
    <w:rsid w:val="013D3291"/>
    <w:rsid w:val="01634607"/>
    <w:rsid w:val="017A288F"/>
    <w:rsid w:val="03300B06"/>
    <w:rsid w:val="03810584"/>
    <w:rsid w:val="0404138A"/>
    <w:rsid w:val="04C47C70"/>
    <w:rsid w:val="052473AC"/>
    <w:rsid w:val="054445ED"/>
    <w:rsid w:val="05A42D3C"/>
    <w:rsid w:val="06CB1820"/>
    <w:rsid w:val="07005EE8"/>
    <w:rsid w:val="08C527B8"/>
    <w:rsid w:val="0A1E4CBF"/>
    <w:rsid w:val="0A7252E8"/>
    <w:rsid w:val="0A8E5A8F"/>
    <w:rsid w:val="0AB12EFC"/>
    <w:rsid w:val="0BC179A1"/>
    <w:rsid w:val="0CCE0482"/>
    <w:rsid w:val="0CEF4602"/>
    <w:rsid w:val="0CF25494"/>
    <w:rsid w:val="0D317E7B"/>
    <w:rsid w:val="0D671264"/>
    <w:rsid w:val="0D802C52"/>
    <w:rsid w:val="0E253E17"/>
    <w:rsid w:val="0E5327A3"/>
    <w:rsid w:val="0E5B0DC3"/>
    <w:rsid w:val="0EA520FE"/>
    <w:rsid w:val="0F206824"/>
    <w:rsid w:val="10051699"/>
    <w:rsid w:val="11B7532B"/>
    <w:rsid w:val="126A3193"/>
    <w:rsid w:val="134405CC"/>
    <w:rsid w:val="15AE144F"/>
    <w:rsid w:val="1623125D"/>
    <w:rsid w:val="175872DD"/>
    <w:rsid w:val="17BB27A5"/>
    <w:rsid w:val="18E14563"/>
    <w:rsid w:val="18ED6E0A"/>
    <w:rsid w:val="191C16FC"/>
    <w:rsid w:val="1C6D0FF7"/>
    <w:rsid w:val="1CB30A95"/>
    <w:rsid w:val="1CDF36F5"/>
    <w:rsid w:val="1CED4570"/>
    <w:rsid w:val="1D510DD9"/>
    <w:rsid w:val="1D7D60B8"/>
    <w:rsid w:val="1DBC6C36"/>
    <w:rsid w:val="1DFA01AD"/>
    <w:rsid w:val="1E155FFF"/>
    <w:rsid w:val="1EC15FC4"/>
    <w:rsid w:val="1F1F70DD"/>
    <w:rsid w:val="1FBF2525"/>
    <w:rsid w:val="1FDE6F53"/>
    <w:rsid w:val="1FDF3A07"/>
    <w:rsid w:val="202B0472"/>
    <w:rsid w:val="20927097"/>
    <w:rsid w:val="209A36F4"/>
    <w:rsid w:val="20BF2103"/>
    <w:rsid w:val="20D97106"/>
    <w:rsid w:val="20EA54A3"/>
    <w:rsid w:val="21253669"/>
    <w:rsid w:val="21FF0877"/>
    <w:rsid w:val="22C95E5F"/>
    <w:rsid w:val="2328636A"/>
    <w:rsid w:val="23992557"/>
    <w:rsid w:val="25226A75"/>
    <w:rsid w:val="252F515F"/>
    <w:rsid w:val="25970793"/>
    <w:rsid w:val="277E65A2"/>
    <w:rsid w:val="27A8610D"/>
    <w:rsid w:val="27FB6D4B"/>
    <w:rsid w:val="28B727D4"/>
    <w:rsid w:val="28D2382F"/>
    <w:rsid w:val="295F7715"/>
    <w:rsid w:val="298564BC"/>
    <w:rsid w:val="2ACC5B17"/>
    <w:rsid w:val="2AD51CF9"/>
    <w:rsid w:val="2B5114CB"/>
    <w:rsid w:val="2CFE6412"/>
    <w:rsid w:val="2D2D13D8"/>
    <w:rsid w:val="2D601138"/>
    <w:rsid w:val="2D6E0743"/>
    <w:rsid w:val="2DF72B7B"/>
    <w:rsid w:val="2E2F77D3"/>
    <w:rsid w:val="2ED42678"/>
    <w:rsid w:val="2F484513"/>
    <w:rsid w:val="2F9B0E2C"/>
    <w:rsid w:val="30765A03"/>
    <w:rsid w:val="308D5B84"/>
    <w:rsid w:val="324151E2"/>
    <w:rsid w:val="324C2DED"/>
    <w:rsid w:val="33DF585B"/>
    <w:rsid w:val="33E00FC4"/>
    <w:rsid w:val="34305198"/>
    <w:rsid w:val="34EA176F"/>
    <w:rsid w:val="35C80294"/>
    <w:rsid w:val="36EA6D98"/>
    <w:rsid w:val="371312B3"/>
    <w:rsid w:val="371331DF"/>
    <w:rsid w:val="38871318"/>
    <w:rsid w:val="3A2B79B5"/>
    <w:rsid w:val="3A975860"/>
    <w:rsid w:val="3B957704"/>
    <w:rsid w:val="3C1E66DD"/>
    <w:rsid w:val="3DC84424"/>
    <w:rsid w:val="3E0D0AEB"/>
    <w:rsid w:val="3F56559B"/>
    <w:rsid w:val="3F906FCC"/>
    <w:rsid w:val="4013679D"/>
    <w:rsid w:val="40E05FC1"/>
    <w:rsid w:val="42750895"/>
    <w:rsid w:val="42C01D65"/>
    <w:rsid w:val="42CD797E"/>
    <w:rsid w:val="4342560D"/>
    <w:rsid w:val="435D45D4"/>
    <w:rsid w:val="43BC0275"/>
    <w:rsid w:val="43FE7868"/>
    <w:rsid w:val="446E5B94"/>
    <w:rsid w:val="44785BAB"/>
    <w:rsid w:val="44886F33"/>
    <w:rsid w:val="44B70EDA"/>
    <w:rsid w:val="44E603B4"/>
    <w:rsid w:val="460A0007"/>
    <w:rsid w:val="463B01FD"/>
    <w:rsid w:val="46617347"/>
    <w:rsid w:val="47095DD3"/>
    <w:rsid w:val="474134F8"/>
    <w:rsid w:val="47AC4668"/>
    <w:rsid w:val="486B4515"/>
    <w:rsid w:val="48821895"/>
    <w:rsid w:val="492B034F"/>
    <w:rsid w:val="4AB847C2"/>
    <w:rsid w:val="4ABE5C56"/>
    <w:rsid w:val="4AEB0A4B"/>
    <w:rsid w:val="4B287B24"/>
    <w:rsid w:val="4B5C59AA"/>
    <w:rsid w:val="4C8717BE"/>
    <w:rsid w:val="4D9F6E3B"/>
    <w:rsid w:val="4DD955AB"/>
    <w:rsid w:val="4DEB0FBD"/>
    <w:rsid w:val="4E151C06"/>
    <w:rsid w:val="4E8C7468"/>
    <w:rsid w:val="4F0E7805"/>
    <w:rsid w:val="4F7C0C96"/>
    <w:rsid w:val="500211AD"/>
    <w:rsid w:val="50657CAC"/>
    <w:rsid w:val="50D5207C"/>
    <w:rsid w:val="51C3100E"/>
    <w:rsid w:val="51D61936"/>
    <w:rsid w:val="526928B1"/>
    <w:rsid w:val="52D90D41"/>
    <w:rsid w:val="534177E1"/>
    <w:rsid w:val="538A1F06"/>
    <w:rsid w:val="541C4010"/>
    <w:rsid w:val="54704DC6"/>
    <w:rsid w:val="55204F1A"/>
    <w:rsid w:val="558B7EB4"/>
    <w:rsid w:val="55CA473B"/>
    <w:rsid w:val="57CD4204"/>
    <w:rsid w:val="57D85B54"/>
    <w:rsid w:val="586F1300"/>
    <w:rsid w:val="58D843AB"/>
    <w:rsid w:val="593767D0"/>
    <w:rsid w:val="59474FB0"/>
    <w:rsid w:val="596B0A71"/>
    <w:rsid w:val="5B1F3523"/>
    <w:rsid w:val="5BFA37F8"/>
    <w:rsid w:val="5C326A55"/>
    <w:rsid w:val="5CC31A4F"/>
    <w:rsid w:val="5D011845"/>
    <w:rsid w:val="5EB812DF"/>
    <w:rsid w:val="5EE51D59"/>
    <w:rsid w:val="5EE94963"/>
    <w:rsid w:val="5F7671EC"/>
    <w:rsid w:val="5F8F6D7B"/>
    <w:rsid w:val="60381F15"/>
    <w:rsid w:val="60E13628"/>
    <w:rsid w:val="61523B79"/>
    <w:rsid w:val="61904FEF"/>
    <w:rsid w:val="622C07CB"/>
    <w:rsid w:val="623022C5"/>
    <w:rsid w:val="62377342"/>
    <w:rsid w:val="626A7B05"/>
    <w:rsid w:val="63360B10"/>
    <w:rsid w:val="63EE04B4"/>
    <w:rsid w:val="650303A4"/>
    <w:rsid w:val="65D74978"/>
    <w:rsid w:val="663B3011"/>
    <w:rsid w:val="666B7CCC"/>
    <w:rsid w:val="66B80E7D"/>
    <w:rsid w:val="66DD7F4F"/>
    <w:rsid w:val="66EC6A91"/>
    <w:rsid w:val="67092B97"/>
    <w:rsid w:val="677A29F9"/>
    <w:rsid w:val="68C2613A"/>
    <w:rsid w:val="69543A53"/>
    <w:rsid w:val="6A083C8C"/>
    <w:rsid w:val="6A4118E0"/>
    <w:rsid w:val="6A966223"/>
    <w:rsid w:val="6AF42787"/>
    <w:rsid w:val="6B271695"/>
    <w:rsid w:val="6B324459"/>
    <w:rsid w:val="6B77446F"/>
    <w:rsid w:val="6CC85211"/>
    <w:rsid w:val="6CEF2F9E"/>
    <w:rsid w:val="6D33750D"/>
    <w:rsid w:val="6E8F2CB7"/>
    <w:rsid w:val="70016D58"/>
    <w:rsid w:val="707545AF"/>
    <w:rsid w:val="70AB7456"/>
    <w:rsid w:val="70BE6806"/>
    <w:rsid w:val="70F906EE"/>
    <w:rsid w:val="714A3755"/>
    <w:rsid w:val="72303789"/>
    <w:rsid w:val="72C5623B"/>
    <w:rsid w:val="733E7F32"/>
    <w:rsid w:val="73622716"/>
    <w:rsid w:val="73805C5C"/>
    <w:rsid w:val="73950C57"/>
    <w:rsid w:val="742D148F"/>
    <w:rsid w:val="74B352A1"/>
    <w:rsid w:val="74E74DC8"/>
    <w:rsid w:val="76814D33"/>
    <w:rsid w:val="76C410C0"/>
    <w:rsid w:val="77072932"/>
    <w:rsid w:val="77A514CA"/>
    <w:rsid w:val="781F5C46"/>
    <w:rsid w:val="787A50AB"/>
    <w:rsid w:val="793402DE"/>
    <w:rsid w:val="79A92B4C"/>
    <w:rsid w:val="79E3332F"/>
    <w:rsid w:val="7A302F62"/>
    <w:rsid w:val="7ADB29CD"/>
    <w:rsid w:val="7AFF4446"/>
    <w:rsid w:val="7B005FD3"/>
    <w:rsid w:val="7B1659A5"/>
    <w:rsid w:val="7BFD55DF"/>
    <w:rsid w:val="7C783475"/>
    <w:rsid w:val="7D3E53E2"/>
    <w:rsid w:val="7D756293"/>
    <w:rsid w:val="7E7C6899"/>
    <w:rsid w:val="7EA2598D"/>
    <w:rsid w:val="7EA72BAB"/>
    <w:rsid w:val="7EB3596F"/>
    <w:rsid w:val="7ECE77AE"/>
    <w:rsid w:val="7EE941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nhideWhenUsed="0" w:uiPriority="0" w:semiHidden="0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nhideWhenUsed="0" w:uiPriority="0" w:semiHidden="0" w:name="header"/>
    <w:lsdException w:qFormat="1" w:unhideWhenUsed="0" w:uiPriority="0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numPr>
        <w:ilvl w:val="1"/>
        <w:numId w:val="1"/>
      </w:numPr>
      <w:spacing w:line="480" w:lineRule="auto"/>
      <w:outlineLvl w:val="1"/>
    </w:pPr>
    <w:rPr>
      <w:rFonts w:ascii="黑体" w:hAnsi="宋体" w:eastAsia="黑体"/>
      <w:color w:val="000000"/>
      <w:sz w:val="32"/>
      <w:szCs w:val="32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8"/>
    <w:semiHidden/>
    <w:unhideWhenUsed/>
    <w:qFormat/>
    <w:uiPriority w:val="99"/>
    <w:pPr>
      <w:jc w:val="left"/>
    </w:pPr>
  </w:style>
  <w:style w:type="paragraph" w:styleId="4">
    <w:name w:val="Balloon Text"/>
    <w:basedOn w:val="1"/>
    <w:link w:val="17"/>
    <w:qFormat/>
    <w:uiPriority w:val="0"/>
    <w:rPr>
      <w:rFonts w:ascii="Times New Roman" w:hAnsi="Times New Roman"/>
      <w:sz w:val="18"/>
      <w:szCs w:val="18"/>
    </w:rPr>
  </w:style>
  <w:style w:type="paragraph" w:styleId="5">
    <w:name w:val="footer"/>
    <w:basedOn w:val="1"/>
    <w:link w:val="15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4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7">
    <w:name w:val="annotation subject"/>
    <w:basedOn w:val="3"/>
    <w:next w:val="3"/>
    <w:link w:val="19"/>
    <w:semiHidden/>
    <w:unhideWhenUsed/>
    <w:qFormat/>
    <w:uiPriority w:val="99"/>
    <w:rPr>
      <w:b/>
      <w:bCs/>
    </w:rPr>
  </w:style>
  <w:style w:type="character" w:styleId="10">
    <w:name w:val="Hyperlink"/>
    <w:qFormat/>
    <w:uiPriority w:val="0"/>
    <w:rPr>
      <w:color w:val="0000FF"/>
      <w:u w:val="single"/>
    </w:rPr>
  </w:style>
  <w:style w:type="character" w:styleId="11">
    <w:name w:val="annotation reference"/>
    <w:semiHidden/>
    <w:unhideWhenUsed/>
    <w:qFormat/>
    <w:uiPriority w:val="99"/>
    <w:rPr>
      <w:sz w:val="21"/>
      <w:szCs w:val="21"/>
    </w:rPr>
  </w:style>
  <w:style w:type="paragraph" w:customStyle="1" w:styleId="12">
    <w:name w:val="正文文本 31"/>
    <w:basedOn w:val="1"/>
    <w:link w:val="16"/>
    <w:qFormat/>
    <w:uiPriority w:val="0"/>
    <w:rPr>
      <w:rFonts w:ascii="宋体" w:hAnsi="Times New Roman"/>
      <w:sz w:val="24"/>
      <w:szCs w:val="20"/>
      <w:lang w:val="zh-CN"/>
    </w:rPr>
  </w:style>
  <w:style w:type="paragraph" w:customStyle="1" w:styleId="13">
    <w:name w:val="普通(网站)1"/>
    <w:basedOn w:val="1"/>
    <w:qFormat/>
    <w:uiPriority w:val="0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14">
    <w:name w:val="页眉 字符"/>
    <w:link w:val="6"/>
    <w:semiHidden/>
    <w:qFormat/>
    <w:uiPriority w:val="0"/>
    <w:rPr>
      <w:sz w:val="18"/>
      <w:szCs w:val="18"/>
    </w:rPr>
  </w:style>
  <w:style w:type="character" w:customStyle="1" w:styleId="15">
    <w:name w:val="页脚 字符"/>
    <w:link w:val="5"/>
    <w:semiHidden/>
    <w:qFormat/>
    <w:uiPriority w:val="0"/>
    <w:rPr>
      <w:sz w:val="18"/>
      <w:szCs w:val="18"/>
    </w:rPr>
  </w:style>
  <w:style w:type="character" w:customStyle="1" w:styleId="16">
    <w:name w:val="正文文本 3 字符"/>
    <w:link w:val="12"/>
    <w:semiHidden/>
    <w:qFormat/>
    <w:uiPriority w:val="0"/>
    <w:rPr>
      <w:rFonts w:ascii="宋体" w:hAnsi="Times New Roman" w:eastAsia="宋体" w:cs="Times New Roman"/>
      <w:sz w:val="24"/>
      <w:szCs w:val="20"/>
      <w:lang w:val="zh-CN" w:eastAsia="zh-CN"/>
    </w:rPr>
  </w:style>
  <w:style w:type="character" w:customStyle="1" w:styleId="17">
    <w:name w:val="批注框文本 字符"/>
    <w:link w:val="4"/>
    <w:semiHidden/>
    <w:qFormat/>
    <w:uiPriority w:val="0"/>
    <w:rPr>
      <w:rFonts w:ascii="Times New Roman" w:hAnsi="Times New Roman" w:eastAsia="宋体" w:cs="Times New Roman"/>
      <w:sz w:val="18"/>
      <w:szCs w:val="18"/>
    </w:rPr>
  </w:style>
  <w:style w:type="character" w:customStyle="1" w:styleId="18">
    <w:name w:val="批注文字 字符"/>
    <w:link w:val="3"/>
    <w:semiHidden/>
    <w:qFormat/>
    <w:uiPriority w:val="99"/>
    <w:rPr>
      <w:rFonts w:ascii="Calibri" w:hAnsi="Calibri"/>
      <w:kern w:val="2"/>
      <w:sz w:val="21"/>
      <w:szCs w:val="22"/>
    </w:rPr>
  </w:style>
  <w:style w:type="character" w:customStyle="1" w:styleId="19">
    <w:name w:val="批注主题 字符"/>
    <w:link w:val="7"/>
    <w:semiHidden/>
    <w:qFormat/>
    <w:uiPriority w:val="99"/>
    <w:rPr>
      <w:rFonts w:ascii="Calibri" w:hAnsi="Calibri"/>
      <w:b/>
      <w:bCs/>
      <w:kern w:val="2"/>
      <w:sz w:val="21"/>
      <w:szCs w:val="2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SkyUN.Org</Company>
  <Pages>1</Pages>
  <Words>525</Words>
  <Characters>598</Characters>
  <Lines>18</Lines>
  <Paragraphs>5</Paragraphs>
  <TotalTime>14</TotalTime>
  <ScaleCrop>false</ScaleCrop>
  <LinksUpToDate>false</LinksUpToDate>
  <CharactersWithSpaces>621</CharactersWithSpaces>
  <Application>WPS Office_11.1.0.9339_F1E327BC-269C-435d-A152-05C5408002CA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2019-05-29T07:59:00Z</dcterms:created>
  <dc:creator>SkyUN.Org</dc:creator>
  <cp:lastModifiedBy>jjt</cp:lastModifiedBy>
  <cp:lastPrinted>2020-01-13T01:04:00Z</cp:lastPrinted>
  <dcterms:modified xsi:type="dcterms:W3CDTF">2020-01-15T08:07:22Z</dcterms:modified>
  <dc:title>user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2052-11.1.0.9339</vt:lpwstr>
  </property>
</Properties>
</file>